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CD" w:rsidRPr="007A539E" w:rsidRDefault="007A539E" w:rsidP="003A2748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7A539E"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AE"/>
        </w:rPr>
        <w:t>المدرسة</w:t>
      </w:r>
      <w:r w:rsidRPr="007A539E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</w:t>
      </w:r>
    </w:p>
    <w:p w:rsidR="007A539E" w:rsidRDefault="007A539E" w:rsidP="003A2748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7A539E">
        <w:rPr>
          <w:rFonts w:ascii="Arabic Typesetting" w:hAnsi="Arabic Typesetting" w:cs="Arabic Typesetting"/>
          <w:b/>
          <w:bCs/>
          <w:color w:val="95B3D7" w:themeColor="accent1" w:themeTint="99"/>
          <w:sz w:val="40"/>
          <w:szCs w:val="40"/>
          <w:rtl/>
          <w:lang w:bidi="ar-AE"/>
        </w:rPr>
        <w:t>المعلمة</w:t>
      </w:r>
      <w:r w:rsidRPr="007A539E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</w:t>
      </w: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5D78B7" w:rsidRPr="005D78B7" w:rsidRDefault="005D78B7" w:rsidP="005D78B7">
      <w:pPr>
        <w:jc w:val="center"/>
        <w:rPr>
          <w:rFonts w:ascii="Arabic Typesetting" w:hAnsi="Arabic Typesetting" w:cs="Arabic Typesetting"/>
          <w:b/>
          <w:bCs/>
          <w:color w:val="17365D" w:themeColor="text2" w:themeShade="BF"/>
          <w:sz w:val="160"/>
          <w:szCs w:val="160"/>
          <w:rtl/>
          <w:lang w:bidi="ar-AE"/>
        </w:rPr>
      </w:pPr>
      <w:r w:rsidRPr="005D78B7">
        <w:rPr>
          <w:rFonts w:ascii="Arabic Typesetting" w:hAnsi="Arabic Typesetting" w:cs="Arabic Typesetting" w:hint="cs"/>
          <w:b/>
          <w:bCs/>
          <w:color w:val="17365D" w:themeColor="text2" w:themeShade="BF"/>
          <w:sz w:val="160"/>
          <w:szCs w:val="160"/>
          <w:rtl/>
          <w:lang w:bidi="ar-AE"/>
        </w:rPr>
        <w:t>الخطوط مجال الكهربائية</w:t>
      </w: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5D78B7" w:rsidRDefault="005D78B7" w:rsidP="005D78B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Pr="007A539E" w:rsidRDefault="007A539E" w:rsidP="005D78B7">
      <w:pPr>
        <w:jc w:val="center"/>
        <w:rPr>
          <w:rFonts w:ascii="Arabic Typesetting" w:hAnsi="Arabic Typesetting" w:cs="Arabic Typesetting"/>
          <w:b/>
          <w:bCs/>
          <w:sz w:val="44"/>
          <w:szCs w:val="44"/>
          <w:rtl/>
          <w:lang w:bidi="ar-AE"/>
        </w:rPr>
      </w:pPr>
      <w:r w:rsidRPr="007A539E">
        <w:rPr>
          <w:rFonts w:ascii="Arabic Typesetting" w:hAnsi="Arabic Typesetting" w:cs="Arabic Typesetting" w:hint="cs"/>
          <w:b/>
          <w:bCs/>
          <w:color w:val="95B3D7" w:themeColor="accent1" w:themeTint="99"/>
          <w:sz w:val="44"/>
          <w:szCs w:val="44"/>
          <w:rtl/>
          <w:lang w:bidi="ar-AE"/>
        </w:rPr>
        <w:t>ا</w:t>
      </w:r>
      <w:r w:rsidRPr="007A539E"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  <w:t>ل</w:t>
      </w:r>
      <w:r w:rsidRPr="007A539E">
        <w:rPr>
          <w:rFonts w:ascii="Arabic Typesetting" w:hAnsi="Arabic Typesetting" w:cs="Arabic Typesetting" w:hint="cs"/>
          <w:b/>
          <w:bCs/>
          <w:color w:val="95B3D7" w:themeColor="accent1" w:themeTint="99"/>
          <w:sz w:val="44"/>
          <w:szCs w:val="44"/>
          <w:rtl/>
          <w:lang w:bidi="ar-AE"/>
        </w:rPr>
        <w:t>ط</w:t>
      </w:r>
      <w:r w:rsidRPr="007A539E"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  <w:t>ا</w:t>
      </w:r>
      <w:r w:rsidRPr="007A539E">
        <w:rPr>
          <w:rFonts w:ascii="Arabic Typesetting" w:hAnsi="Arabic Typesetting" w:cs="Arabic Typesetting" w:hint="cs"/>
          <w:b/>
          <w:bCs/>
          <w:color w:val="95B3D7" w:themeColor="accent1" w:themeTint="99"/>
          <w:sz w:val="44"/>
          <w:szCs w:val="44"/>
          <w:rtl/>
          <w:lang w:bidi="ar-AE"/>
        </w:rPr>
        <w:t>ل</w:t>
      </w:r>
      <w:r w:rsidRPr="007A539E"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  <w:t>ب</w:t>
      </w:r>
      <w:r w:rsidRPr="007A539E">
        <w:rPr>
          <w:rFonts w:ascii="Arabic Typesetting" w:hAnsi="Arabic Typesetting" w:cs="Arabic Typesetting" w:hint="cs"/>
          <w:b/>
          <w:bCs/>
          <w:color w:val="95B3D7" w:themeColor="accent1" w:themeTint="99"/>
          <w:sz w:val="44"/>
          <w:szCs w:val="44"/>
          <w:rtl/>
          <w:lang w:bidi="ar-AE"/>
        </w:rPr>
        <w:t>ا</w:t>
      </w:r>
      <w:r w:rsidRPr="007A539E"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  <w:t>ت</w:t>
      </w:r>
      <w:r w:rsidRPr="007A539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AE"/>
        </w:rPr>
        <w:t xml:space="preserve"> </w:t>
      </w:r>
      <w:r w:rsidRPr="007A539E">
        <w:rPr>
          <w:rFonts w:ascii="Arabic Typesetting" w:hAnsi="Arabic Typesetting" w:cs="Arabic Typesetting" w:hint="cs"/>
          <w:b/>
          <w:bCs/>
          <w:color w:val="95B3D7" w:themeColor="accent1" w:themeTint="99"/>
          <w:sz w:val="44"/>
          <w:szCs w:val="44"/>
          <w:rtl/>
          <w:lang w:bidi="ar-AE"/>
        </w:rPr>
        <w:t>:</w:t>
      </w:r>
    </w:p>
    <w:p w:rsidR="003A2748" w:rsidRDefault="003A2748" w:rsidP="003A2748">
      <w:pPr>
        <w:jc w:val="center"/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</w:pPr>
    </w:p>
    <w:p w:rsidR="003A2748" w:rsidRDefault="003A2748" w:rsidP="003A2748">
      <w:pPr>
        <w:jc w:val="center"/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</w:pPr>
    </w:p>
    <w:p w:rsidR="003A2748" w:rsidRDefault="003A2748" w:rsidP="003A2748">
      <w:pPr>
        <w:jc w:val="center"/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</w:pPr>
    </w:p>
    <w:p w:rsidR="003A2748" w:rsidRDefault="003A2748" w:rsidP="003A2748">
      <w:pPr>
        <w:jc w:val="center"/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</w:pPr>
    </w:p>
    <w:p w:rsidR="003A2748" w:rsidRDefault="003A2748" w:rsidP="003A2748">
      <w:pPr>
        <w:jc w:val="center"/>
        <w:rPr>
          <w:rFonts w:ascii="Arabic Typesetting" w:hAnsi="Arabic Typesetting" w:cs="Arabic Typesetting" w:hint="cs"/>
          <w:b/>
          <w:bCs/>
          <w:color w:val="244061" w:themeColor="accent1" w:themeShade="80"/>
          <w:sz w:val="44"/>
          <w:szCs w:val="44"/>
          <w:rtl/>
          <w:lang w:bidi="ar-AE"/>
        </w:rPr>
      </w:pPr>
    </w:p>
    <w:p w:rsidR="007A539E" w:rsidRPr="003A2748" w:rsidRDefault="007A539E" w:rsidP="003A2748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 w:rsidRPr="003A2748"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lastRenderedPageBreak/>
        <w:t>فكرة المشروع:</w:t>
      </w:r>
    </w:p>
    <w:p w:rsidR="00952034" w:rsidRPr="003A2748" w:rsidRDefault="00952034" w:rsidP="00952034">
      <w:p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AE"/>
        </w:rPr>
      </w:pPr>
      <w:r w:rsidRPr="003A2748"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>عمل مجسم يوضح خطوط المجال الكهربائي</w:t>
      </w:r>
    </w:p>
    <w:p w:rsidR="007A539E" w:rsidRPr="003A2748" w:rsidRDefault="007A539E" w:rsidP="003A2748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AE"/>
        </w:rPr>
      </w:pPr>
      <w:r w:rsidRPr="003A2748"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>اهداف المشروع:</w:t>
      </w:r>
    </w:p>
    <w:p w:rsidR="00837915" w:rsidRPr="00D66841" w:rsidRDefault="007A539E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>1-القيام بالعمليات الذهنية الاتية: تنمية الدس والفكر السليم واستكشاف الانماط من خلال المشاهدة,</w:t>
      </w:r>
      <w:r w:rsidR="00837915"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 xml:space="preserve"> التعميم, التخمين, الخ...</w:t>
      </w:r>
    </w:p>
    <w:p w:rsidR="007A539E" w:rsidRPr="00D66841" w:rsidRDefault="00837915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 xml:space="preserve">2-القدرة على حل المسائل باستخدام الفكر النقدي عبر القراءة والفهم, التخطيط. </w:t>
      </w:r>
    </w:p>
    <w:p w:rsidR="007A539E" w:rsidRPr="00D66841" w:rsidRDefault="007A539E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 xml:space="preserve"> </w:t>
      </w:r>
      <w:r w:rsidR="00837915"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>3-التعامل مع التقنية والمعلوماتية وخدمة تطورها و الاستفادة من التسهيلات التي تقدمها ....</w:t>
      </w:r>
    </w:p>
    <w:p w:rsidR="00837915" w:rsidRDefault="00837915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 xml:space="preserve">4- التعاون </w:t>
      </w:r>
    </w:p>
    <w:p w:rsidR="00952034" w:rsidRDefault="00952034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>5-</w:t>
      </w:r>
      <w:r w:rsidR="00FD7C9E"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>تفسير خطوط المجال الكهربائي.</w:t>
      </w:r>
    </w:p>
    <w:p w:rsidR="00FD7C9E" w:rsidRPr="00D66841" w:rsidRDefault="00FD7C9E">
      <w:pPr>
        <w:rPr>
          <w:rFonts w:ascii="Arabic Typesetting" w:hAnsi="Arabic Typesetting" w:cs="Arabic Typesetting"/>
          <w:b/>
          <w:bCs/>
          <w:color w:val="215868" w:themeColor="accent5" w:themeShade="80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215868" w:themeColor="accent5" w:themeShade="80"/>
          <w:sz w:val="40"/>
          <w:szCs w:val="40"/>
          <w:rtl/>
          <w:lang w:bidi="ar-AE"/>
        </w:rPr>
        <w:t>6- يحدد الخصائص الاربعة المرتبطة بموصل في حالة اتزان الكروتاتيكي.</w:t>
      </w:r>
    </w:p>
    <w:p w:rsidR="00837915" w:rsidRDefault="00837915" w:rsidP="003A2748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>الادوات :</w:t>
      </w:r>
    </w:p>
    <w:p w:rsidR="00FD7C9E" w:rsidRDefault="00FD7C9E" w:rsidP="00FD7C9E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كرتان </w:t>
      </w:r>
    </w:p>
    <w:p w:rsidR="00FD7C9E" w:rsidRDefault="00FD7C9E" w:rsidP="00FD7C9E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2فلين </w:t>
      </w:r>
    </w:p>
    <w:p w:rsidR="00FD7C9E" w:rsidRDefault="00FD7C9E" w:rsidP="00FD7C9E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قلم التحديد </w:t>
      </w:r>
    </w:p>
    <w:p w:rsidR="00FD7C9E" w:rsidRPr="00FD7C9E" w:rsidRDefault="00FD7C9E" w:rsidP="00FD7C9E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طباعة على الحاسوب </w:t>
      </w:r>
    </w:p>
    <w:p w:rsidR="00837915" w:rsidRDefault="00837915" w:rsidP="003A2748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 w:rsidRPr="00D66841"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>الخطوات:</w:t>
      </w:r>
    </w:p>
    <w:p w:rsidR="00FD7C9E" w:rsidRDefault="00FD7C9E" w:rsidP="00FD7C9E">
      <w:pPr>
        <w:pStyle w:val="ListParagraph"/>
        <w:numPr>
          <w:ilvl w:val="0"/>
          <w:numId w:val="4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الصاق الكرتان على الفلين </w:t>
      </w:r>
    </w:p>
    <w:p w:rsidR="00837915" w:rsidRDefault="00FD7C9E" w:rsidP="00FD7C9E">
      <w:pPr>
        <w:pStyle w:val="ListParagraph"/>
        <w:numPr>
          <w:ilvl w:val="0"/>
          <w:numId w:val="4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الصاق الاسهم على الفلين مما تكون بارزة  </w:t>
      </w:r>
    </w:p>
    <w:p w:rsidR="00E40D09" w:rsidRDefault="00FD7C9E" w:rsidP="00E40D09">
      <w:pPr>
        <w:pStyle w:val="ListParagraph"/>
        <w:numPr>
          <w:ilvl w:val="0"/>
          <w:numId w:val="4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AE"/>
        </w:rPr>
        <w:t xml:space="preserve">الصاق العنوان </w:t>
      </w:r>
    </w:p>
    <w:p w:rsidR="00E40D09" w:rsidRDefault="00E40D09" w:rsidP="00E40D09">
      <w:pPr>
        <w:pStyle w:val="ListParagraph"/>
        <w:ind w:left="1080"/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</w:p>
    <w:p w:rsidR="00E40D09" w:rsidRDefault="00E40D09" w:rsidP="00E40D09">
      <w:pPr>
        <w:pStyle w:val="ListParagraph"/>
        <w:ind w:left="1080"/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</w:p>
    <w:p w:rsidR="003A2748" w:rsidRDefault="003A2748" w:rsidP="00E40D09">
      <w:pPr>
        <w:pStyle w:val="ListParagraph"/>
        <w:ind w:left="1080"/>
        <w:rPr>
          <w:rFonts w:ascii="Arial" w:eastAsia="Times New Roman" w:hAnsi="Arial" w:cs="Arial" w:hint="cs"/>
          <w:b/>
          <w:bCs/>
          <w:color w:val="8B0000"/>
          <w:sz w:val="27"/>
          <w:szCs w:val="27"/>
          <w:rtl/>
        </w:rPr>
      </w:pPr>
    </w:p>
    <w:p w:rsidR="003A2748" w:rsidRDefault="003A2748" w:rsidP="00E40D09">
      <w:pPr>
        <w:pStyle w:val="ListParagraph"/>
        <w:ind w:left="1080"/>
        <w:rPr>
          <w:rFonts w:ascii="Arial" w:eastAsia="Times New Roman" w:hAnsi="Arial" w:cs="Arial" w:hint="cs"/>
          <w:b/>
          <w:bCs/>
          <w:color w:val="8B0000"/>
          <w:sz w:val="27"/>
          <w:szCs w:val="27"/>
          <w:rtl/>
        </w:rPr>
      </w:pPr>
    </w:p>
    <w:p w:rsidR="003A2748" w:rsidRDefault="003A2748" w:rsidP="00E40D09">
      <w:pPr>
        <w:pStyle w:val="ListParagraph"/>
        <w:ind w:left="1080"/>
        <w:rPr>
          <w:rFonts w:ascii="Arial" w:eastAsia="Times New Roman" w:hAnsi="Arial" w:cs="Arial" w:hint="cs"/>
          <w:b/>
          <w:bCs/>
          <w:color w:val="8B0000"/>
          <w:sz w:val="27"/>
          <w:szCs w:val="27"/>
          <w:rtl/>
        </w:rPr>
      </w:pPr>
    </w:p>
    <w:p w:rsidR="005D78B7" w:rsidRPr="00E40D09" w:rsidRDefault="005D78B7" w:rsidP="00E40D09">
      <w:pPr>
        <w:pStyle w:val="ListParagraph"/>
        <w:ind w:left="1080"/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lang w:bidi="ar-AE"/>
        </w:rPr>
      </w:pPr>
      <w:r w:rsidRPr="00E40D09">
        <w:rPr>
          <w:rFonts w:ascii="Arial" w:eastAsia="Times New Roman" w:hAnsi="Arial" w:cs="Arial"/>
          <w:b/>
          <w:bCs/>
          <w:color w:val="8B0000"/>
          <w:sz w:val="27"/>
          <w:szCs w:val="27"/>
          <w:rtl/>
        </w:rPr>
        <w:lastRenderedPageBreak/>
        <w:t>المجال الكهربائي</w:t>
      </w:r>
      <w:r w:rsidRPr="00E40D09">
        <w:rPr>
          <w:rFonts w:ascii="Arial" w:eastAsia="Times New Roman" w:hAnsi="Arial" w:cs="Arial"/>
          <w:b/>
          <w:bCs/>
          <w:color w:val="8B0000"/>
          <w:sz w:val="27"/>
          <w:szCs w:val="27"/>
        </w:rPr>
        <w:t xml:space="preserve"> Electric field </w:t>
      </w:r>
    </w:p>
    <w:p w:rsidR="005D78B7" w:rsidRPr="005D78B7" w:rsidRDefault="005D78B7" w:rsidP="005D78B7">
      <w:pPr>
        <w:spacing w:after="240" w:line="240" w:lineRule="auto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مر بنا أن الشحنة الكهربائية تؤثر بقوة على شحنة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أخرى تبعد عنها مسافة ما . كما مر بنا أن هذه القوة تقل كلما زادت المسافة حتى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تنعدم القوة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.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  <w:rtl/>
        </w:rPr>
        <w:t>ومن هذا قال العالم البريطاني مايكل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  <w:rtl/>
        </w:rPr>
        <w:t>فاراداي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أن لكل شحنة كهربائية حيز يحيط بها و تؤثر من خلال هذا الحيز على أي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شحنة موجودة في هذا الحيز ( أي تظهر فيها الآثار الكهربائية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،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  <w:rtl/>
        </w:rPr>
        <w:t>ويسمى المجال الكهربائي أو المجال الكهرو - سكوني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( 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  <w:rtl/>
        </w:rPr>
        <w:t>الكهروستاتي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) .</w:t>
      </w:r>
    </w:p>
    <w:p w:rsidR="005D78B7" w:rsidRPr="005D78B7" w:rsidRDefault="005D78B7" w:rsidP="005D78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3009900" cy="2924175"/>
            <wp:effectExtent l="19050" t="0" r="0" b="0"/>
            <wp:docPr id="1" name="Picture 1" descr="http://lahyan.net/nasser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hyan.net/nasser/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5553075" cy="876300"/>
            <wp:effectExtent l="19050" t="0" r="9525" b="0"/>
            <wp:docPr id="2" name="Picture 2" descr="http://lahyan.net/nasser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hyan.net/nasser/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2990850" cy="2238375"/>
            <wp:effectExtent l="19050" t="0" r="0" b="0"/>
            <wp:docPr id="3" name="Picture 3" descr="http://lahyan.net/nasser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hyan.net/nasser/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B7" w:rsidRPr="005D78B7" w:rsidRDefault="005D78B7" w:rsidP="005D78B7">
      <w:pPr>
        <w:spacing w:after="240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وبأسلوب آخر لتوضيح مفهوم المجال الكهربائي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: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 الكهربائي هي مساحة معينة حول أي جسم مشحون كهربائيًا ،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ويمكن الكشف عنه بتأثيره على الأجسام المشحونة الأخرى الموجودة في ذات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>.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العوامل المؤثرة على قوة المجال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الكهربائي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: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تتناسب قوة المجال الكهربائي عند أي نُقطة تقع على بُعد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ما من جسم المشحون تناسباً طردياً مع كمية الشحنة الموجودة عليه . و عكسياً مع مربع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المسافة بين النقطة والجسم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  <w:rtl/>
        </w:rPr>
        <w:t>ولتعريف المجال الكهربائي بطريقة عملية</w:t>
      </w:r>
      <w:r w:rsidRPr="005D78B7">
        <w:rPr>
          <w:rFonts w:ascii="Arial" w:eastAsia="Times New Roman" w:hAnsi="Arial" w:cs="Arial"/>
          <w:b/>
          <w:bCs/>
          <w:color w:val="2F4F4F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، فلنتخيل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وجود شحنة اختباريه صغيرة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(Test charge)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تسمى ( ش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.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.q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عند النقطة المراد حساب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 عندها ،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ثم تقاس القوة ( ق 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F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المؤثرة على ( ش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.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.q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نتيجة وجودها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في هذا المجال ، فتكون شدة المجال الكهربائي ( ج 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E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هي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:</w:t>
      </w:r>
    </w:p>
    <w:p w:rsidR="005D78B7" w:rsidRPr="005D78B7" w:rsidRDefault="005D78B7" w:rsidP="005D78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ج = ق / ش</w:t>
      </w: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</w:rPr>
        <w:t>.</w:t>
      </w: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</w:rPr>
        <w:br/>
        <w:t xml:space="preserve">.E = F / q </w:t>
      </w:r>
    </w:p>
    <w:p w:rsidR="005D78B7" w:rsidRPr="005D78B7" w:rsidRDefault="005D78B7" w:rsidP="005D78B7">
      <w:pPr>
        <w:spacing w:after="240" w:line="240" w:lineRule="auto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وتكون بذلك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وحدة المجال الكهربائي نيوتن / كولوم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>.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وبالتعويض عن( ق،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F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من قانون كولوم نحصل على العلاقة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التالية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: </w:t>
      </w:r>
    </w:p>
    <w:p w:rsidR="005D78B7" w:rsidRPr="005D78B7" w:rsidRDefault="005D78B7" w:rsidP="005D78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ج = أ ش / ف2</w:t>
      </w: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8B0000"/>
          <w:sz w:val="24"/>
          <w:szCs w:val="24"/>
        </w:rPr>
        <w:br/>
        <w:t>E= k q / r2</w:t>
      </w:r>
    </w:p>
    <w:p w:rsidR="00E40D09" w:rsidRDefault="005D78B7" w:rsidP="005D78B7">
      <w:pPr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وبذلك نصل إلى تعريف شدة المجال الكهربائي ( ج ،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E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عند أي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نقطة منه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: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بأنها مقدار القوة الكهربائية المؤثرة على شحنة اختبار موضوعة في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تلك النقطة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.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شحنة الاختبار ( شحنة نقطية موجبة مقدارها 1 كلولوم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)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خطوط المجال الكهربائي</w:t>
      </w:r>
      <w:r w:rsidRPr="005D78B7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: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يمكن النظر إلى المجال الكهربائي على أنه خطوط قوى كهربائية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تخيلية تشع من الجسم. ويؤثر المجال الكهربائي على أي جسم مشحون آخر يدخل في نطاقه،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بحيث يجعله يغير حركته خلال المجال. ومعنى هذا أن الأجسام المشحونة يؤثر كل منها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على الآخر، حتى وإن لم يكن هناك اتصال محسوس بينها، وذلك بسبب المجالات الكهربائية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التي تحيط بها. فعلى سبيل المثال تتجاذب الجسيمات مختلفة الشحنة، بينما تتنافر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الجسيمات متماثلة الشحنة</w:t>
      </w:r>
      <w:r w:rsidRPr="005D78B7">
        <w:rPr>
          <w:rFonts w:ascii="Arial" w:eastAsia="Times New Roman" w:hAnsi="Arial" w:cs="Arial"/>
          <w:b/>
          <w:bCs/>
          <w:color w:val="000080"/>
          <w:sz w:val="24"/>
          <w:szCs w:val="24"/>
        </w:rPr>
        <w:t>.</w:t>
      </w:r>
    </w:p>
    <w:p w:rsidR="00E40D09" w:rsidRPr="00E40D09" w:rsidRDefault="00E40D09" w:rsidP="00E40D09">
      <w:pPr>
        <w:spacing w:after="240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وبالتالي فإن خطوط المجال الكهربائي هي خطوط وهمية تمثل مسار شحنة كهربائية موجبة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صغيرة جداً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(Test charge)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إذا تركت حرة في المجال ، واعتماداً على هذا التعريف يمكن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ذكر الخصائص التالية لخطوط المجال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>: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ملاحظات خاصة بخطوط المجال الكهربائي</w:t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: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1 -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خطوط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 الكهربائي تبدأ من الشحنة الموجبة وتنتهي في الشحنة السالبة ، وإذا اختفت أي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من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lastRenderedPageBreak/>
        <w:t>الشحنتين فإن الخطوط تستمر إلى ما لا نهاية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.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2 -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عدد خطوط المجال الكهربائي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أو الداخلة عليها يتناسب مع مقدار </w:t>
      </w:r>
      <w:proofErr w:type="gramStart"/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الشحنة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.</w:t>
      </w:r>
      <w:proofErr w:type="gramEnd"/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3 -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لا يمكن بأي حال من الأحوال أن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 xml:space="preserve">يتقاطع خطان من خطوط المجال </w:t>
      </w:r>
      <w:proofErr w:type="gramStart"/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الكهربائي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.</w:t>
      </w:r>
      <w:proofErr w:type="gramEnd"/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4 -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كلما زادت كثافة الخطوط حول نقطة ما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كلما كان المجال عند هذه النقطة أكبر والعكس صحيح ، والمنطقة التي لا توجد فيها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خطوط المجال يكون فيها المجال معدوماً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. </w:t>
      </w:r>
    </w:p>
    <w:p w:rsidR="00E40D09" w:rsidRPr="00E40D09" w:rsidRDefault="00E40D09" w:rsidP="00E40D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4010025" cy="3200400"/>
            <wp:effectExtent l="19050" t="0" r="9525" b="0"/>
            <wp:docPr id="7" name="Picture 7" descr="http://lahyan.net/nasser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ahyan.net/nasser/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09" w:rsidRPr="00E40D09" w:rsidRDefault="00E40D09" w:rsidP="00E40D09">
      <w:pPr>
        <w:spacing w:after="240" w:line="240" w:lineRule="auto"/>
        <w:rPr>
          <w:rFonts w:ascii="Arial" w:eastAsia="Times New Roman" w:hAnsi="Arial" w:cs="Arial"/>
          <w:b/>
          <w:bCs/>
          <w:color w:val="006400"/>
          <w:sz w:val="24"/>
          <w:szCs w:val="24"/>
        </w:rPr>
      </w:pP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مقارنة للتوضيح ( بين</w:t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المجال الكهربائي و مجال الجاذبية الأرضية</w:t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) :</w:t>
      </w:r>
    </w:p>
    <w:p w:rsidR="00E40D09" w:rsidRPr="00E40D09" w:rsidRDefault="00E40D09" w:rsidP="00E40D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64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6400"/>
          <w:sz w:val="24"/>
          <w:szCs w:val="24"/>
        </w:rPr>
        <w:lastRenderedPageBreak/>
        <w:drawing>
          <wp:inline distT="0" distB="0" distL="0" distR="0">
            <wp:extent cx="2609850" cy="4038600"/>
            <wp:effectExtent l="19050" t="0" r="0" b="0"/>
            <wp:docPr id="8" name="Picture 8" descr="http://lahyan.net/nasser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ahyan.net/nasser/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09" w:rsidRPr="00E40D09" w:rsidRDefault="00E40D09" w:rsidP="00E40D09">
      <w:pPr>
        <w:spacing w:after="240" w:line="240" w:lineRule="auto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تؤثر قوة المجال الكهربائي بين شحنتين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بنفس الطريقة التي تؤثر بها قوة الجاذبية بين كتلتين . و لكن المجال الكهربائي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مختلف قليلاً ، فقوة الجاذبية تعتمد على كتلة الجسمين بينما القوة الكهربية تعتمد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على شحنة الجسمين. وبينما يمكن بها لقوة الجاذبية جذب كتلتين تجاه بعضهما فقط, يمكن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للقوة الكهربية أن تكون قوة تجاذب أو تنافر. إذا كانت الشحنتان بنفس الاشارة (مثال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: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كلتاهما موجبة) ستكون هناك قوة تنافر بينهما. أما إذا كانت الشحنتان مختلفتين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فسيكون هناك قوة تجاذب بين الجسمين. يتناسب مقدار القوة عكسياً مع مربع المسافة بين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الجسمين, كما يتناسب طردياً مع حاصل ضرب مقدار الشحنتين دون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اشارة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>.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  <w:rtl/>
        </w:rPr>
        <w:t>و ينقسم المجال الكهربائي لنوعين</w:t>
      </w:r>
      <w:r w:rsidRPr="00E40D09">
        <w:rPr>
          <w:rFonts w:ascii="Arial" w:eastAsia="Times New Roman" w:hAnsi="Arial" w:cs="Arial"/>
          <w:b/>
          <w:bCs/>
          <w:color w:val="006400"/>
          <w:sz w:val="24"/>
          <w:szCs w:val="24"/>
        </w:rPr>
        <w:t xml:space="preserve"> :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1 –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 الكهربائي غير المنتظم : هو مجال غير ثابت الشدة ينشئ عن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الشحنات النقطية الساكنة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2 -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المجال الكهربائي المنتظم : هو مجال ثابت الشدة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والاتجاه ينشئ عن الكهرباء المتحركة مثل حركة الشحنات في مقطع سلك صغير أو بين لوحي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  <w:t>مكثف (توصيل لوحين معدنيين متوازيان بقطبي بطارية</w:t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) . </w:t>
      </w:r>
    </w:p>
    <w:p w:rsidR="00E40D09" w:rsidRPr="00E40D09" w:rsidRDefault="00E40D09" w:rsidP="00E40D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4267200" cy="3076575"/>
            <wp:effectExtent l="19050" t="0" r="0" b="0"/>
            <wp:docPr id="9" name="Picture 9" descr="http://lahyan.net/nasser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ahyan.net/nasser/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4981575" cy="2152650"/>
            <wp:effectExtent l="19050" t="0" r="9525" b="0"/>
            <wp:docPr id="10" name="Picture 10" descr="http://lahyan.net/nasser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hyan.net/nasser/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09" w:rsidRPr="00E40D09" w:rsidRDefault="00E40D09" w:rsidP="00E40D09">
      <w:pPr>
        <w:spacing w:after="240" w:line="240" w:lineRule="auto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حركة</w:t>
      </w:r>
      <w:r w:rsidRPr="00E40D09">
        <w:rPr>
          <w:rFonts w:ascii="Arial" w:eastAsia="Times New Roman" w:hAnsi="Arial" w:cs="Arial"/>
          <w:b/>
          <w:bCs/>
          <w:color w:val="8B0000"/>
          <w:sz w:val="24"/>
          <w:szCs w:val="24"/>
        </w:rPr>
        <w:t xml:space="preserve"> </w:t>
      </w:r>
      <w:r w:rsidRPr="00E40D09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شحنة في مجال كهربائي منتظم</w:t>
      </w:r>
      <w:r w:rsidRPr="00E40D09">
        <w:rPr>
          <w:rFonts w:ascii="Arial" w:eastAsia="Times New Roman" w:hAnsi="Arial" w:cs="Arial"/>
          <w:b/>
          <w:bCs/>
          <w:color w:val="8B0000"/>
          <w:sz w:val="24"/>
          <w:szCs w:val="24"/>
        </w:rPr>
        <w:t xml:space="preserve"> :</w:t>
      </w:r>
    </w:p>
    <w:p w:rsidR="00E40D09" w:rsidRPr="00E40D09" w:rsidRDefault="00E40D09" w:rsidP="00E40D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2819400" cy="2638425"/>
            <wp:effectExtent l="19050" t="0" r="0" b="0"/>
            <wp:docPr id="11" name="Picture 11" descr="http://lahyan.net/nasser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ahyan.net/nasser/4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2819400" cy="2638425"/>
            <wp:effectExtent l="19050" t="0" r="0" b="0"/>
            <wp:docPr id="12" name="Picture 12" descr="http://lahyan.net/nasser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ahyan.net/nasser/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 w:rsidRPr="00E40D09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2847975" cy="2676525"/>
            <wp:effectExtent l="19050" t="0" r="9525" b="0"/>
            <wp:docPr id="13" name="Picture 13" descr="http://lahyan.net/nasser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ahyan.net/nasser/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80"/>
          <w:sz w:val="24"/>
          <w:szCs w:val="24"/>
        </w:rPr>
        <w:drawing>
          <wp:inline distT="0" distB="0" distL="0" distR="0">
            <wp:extent cx="2857500" cy="2667000"/>
            <wp:effectExtent l="19050" t="0" r="0" b="0"/>
            <wp:docPr id="14" name="Picture 14" descr="http://lahyan.net/nasser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ahyan.net/nasser/4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B7" w:rsidRPr="005D78B7" w:rsidRDefault="005D78B7" w:rsidP="005D78B7">
      <w:pPr>
        <w:rPr>
          <w:rFonts w:ascii="Arial" w:eastAsia="Times New Roman" w:hAnsi="Arial" w:cs="Arial"/>
          <w:b/>
          <w:bCs/>
          <w:color w:val="000080"/>
          <w:sz w:val="24"/>
          <w:szCs w:val="24"/>
          <w:rtl/>
        </w:rPr>
      </w:pPr>
    </w:p>
    <w:p w:rsid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7A539E" w:rsidRPr="007A539E" w:rsidRDefault="007A539E">
      <w:pPr>
        <w:rPr>
          <w:rFonts w:ascii="Arabic Typesetting" w:hAnsi="Arabic Typesetting" w:cs="Arabic Typesetting"/>
          <w:b/>
          <w:bCs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 xml:space="preserve">                                                                </w:t>
      </w:r>
    </w:p>
    <w:sectPr w:rsidR="007A539E" w:rsidRPr="007A539E" w:rsidSect="007273F7">
      <w:pgSz w:w="11906" w:h="16838"/>
      <w:pgMar w:top="1440" w:right="1800" w:bottom="1440" w:left="1800" w:header="708" w:footer="708" w:gutter="0"/>
      <w:pgBorders w:offsetFrom="page">
        <w:top w:val="dotDash" w:sz="24" w:space="24" w:color="244061" w:themeColor="accent1" w:themeShade="80"/>
        <w:left w:val="dotDash" w:sz="24" w:space="24" w:color="95B3D7" w:themeColor="accent1" w:themeTint="99"/>
        <w:bottom w:val="dotDash" w:sz="24" w:space="24" w:color="244061" w:themeColor="accent1" w:themeShade="80"/>
        <w:right w:val="dotDash" w:sz="24" w:space="24" w:color="95B3D7" w:themeColor="accent1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50B"/>
    <w:multiLevelType w:val="hybridMultilevel"/>
    <w:tmpl w:val="F968A186"/>
    <w:lvl w:ilvl="0" w:tplc="3788BB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03DF5"/>
    <w:multiLevelType w:val="hybridMultilevel"/>
    <w:tmpl w:val="667CF848"/>
    <w:lvl w:ilvl="0" w:tplc="77B4B9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0C3B86"/>
    <w:multiLevelType w:val="hybridMultilevel"/>
    <w:tmpl w:val="153E56A0"/>
    <w:lvl w:ilvl="0" w:tplc="EA1238F8">
      <w:numFmt w:val="bullet"/>
      <w:lvlText w:val="-"/>
      <w:lvlJc w:val="left"/>
      <w:pPr>
        <w:ind w:left="435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23551D1F"/>
    <w:multiLevelType w:val="hybridMultilevel"/>
    <w:tmpl w:val="37CC0CA8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6365B7B"/>
    <w:multiLevelType w:val="hybridMultilevel"/>
    <w:tmpl w:val="559A846A"/>
    <w:lvl w:ilvl="0" w:tplc="F1A4E0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3F7"/>
    <w:rsid w:val="00323457"/>
    <w:rsid w:val="003A2748"/>
    <w:rsid w:val="004E60B3"/>
    <w:rsid w:val="005D78B7"/>
    <w:rsid w:val="007273F7"/>
    <w:rsid w:val="007A539E"/>
    <w:rsid w:val="00837915"/>
    <w:rsid w:val="00906351"/>
    <w:rsid w:val="00952034"/>
    <w:rsid w:val="00A078CD"/>
    <w:rsid w:val="00AB431E"/>
    <w:rsid w:val="00D66841"/>
    <w:rsid w:val="00E40D09"/>
    <w:rsid w:val="00FD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6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hiiii</dc:creator>
  <cp:lastModifiedBy>hiiii</cp:lastModifiedBy>
  <cp:revision>3</cp:revision>
  <cp:lastPrinted>2010-03-01T15:24:00Z</cp:lastPrinted>
  <dcterms:created xsi:type="dcterms:W3CDTF">2010-02-14T11:30:00Z</dcterms:created>
  <dcterms:modified xsi:type="dcterms:W3CDTF">2010-03-02T13:16:00Z</dcterms:modified>
</cp:coreProperties>
</file>