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5000" w:type="pct"/>
        <w:tblCellSpacing w:w="0" w:type="dxa"/>
        <w:tblCellMar>
          <w:left w:w="0" w:type="dxa"/>
          <w:right w:w="0" w:type="dxa"/>
        </w:tblCellMar>
        <w:tblLook w:val="04A0"/>
      </w:tblPr>
      <w:tblGrid>
        <w:gridCol w:w="9360"/>
      </w:tblGrid>
      <w:tr w:rsidR="008D7CA6" w:rsidRPr="008D7CA6">
        <w:trPr>
          <w:tblCellSpacing w:w="0" w:type="dxa"/>
        </w:trPr>
        <w:tc>
          <w:tcPr>
            <w:tcW w:w="0" w:type="auto"/>
            <w:hideMark/>
          </w:tcPr>
          <w:tbl>
            <w:tblPr>
              <w:bidiVisual/>
              <w:tblW w:w="5000" w:type="pct"/>
              <w:tblCellSpacing w:w="15" w:type="dxa"/>
              <w:tblCellMar>
                <w:top w:w="15" w:type="dxa"/>
                <w:left w:w="15" w:type="dxa"/>
                <w:bottom w:w="15" w:type="dxa"/>
                <w:right w:w="15" w:type="dxa"/>
              </w:tblCellMar>
              <w:tblLook w:val="04A0"/>
            </w:tblPr>
            <w:tblGrid>
              <w:gridCol w:w="9360"/>
            </w:tblGrid>
            <w:tr w:rsidR="008D7CA6" w:rsidRPr="008D7CA6">
              <w:trPr>
                <w:tblCellSpacing w:w="15" w:type="dxa"/>
              </w:trPr>
              <w:tc>
                <w:tcPr>
                  <w:tcW w:w="0" w:type="auto"/>
                  <w:tcMar>
                    <w:top w:w="105" w:type="dxa"/>
                    <w:left w:w="105" w:type="dxa"/>
                    <w:bottom w:w="105" w:type="dxa"/>
                    <w:right w:w="105" w:type="dxa"/>
                  </w:tcMar>
                  <w:vAlign w:val="center"/>
                  <w:hideMark/>
                </w:tcPr>
                <w:p w:rsidR="008D7CA6" w:rsidRPr="008D7CA6" w:rsidRDefault="008D7CA6" w:rsidP="008D7CA6">
                  <w:pPr>
                    <w:bidi/>
                    <w:spacing w:after="0" w:line="240" w:lineRule="auto"/>
                    <w:jc w:val="both"/>
                    <w:rPr>
                      <w:rFonts w:ascii="Arial" w:eastAsia="Times New Roman" w:hAnsi="Arial" w:cs="Arial" w:hint="cs"/>
                      <w:b/>
                      <w:bCs/>
                      <w:color w:val="800000"/>
                      <w:sz w:val="36"/>
                      <w:szCs w:val="36"/>
                      <w:u w:val="single"/>
                      <w:rtl/>
                    </w:rPr>
                  </w:pPr>
                  <w:r>
                    <w:rPr>
                      <w:rFonts w:ascii="Arial" w:eastAsia="Times New Roman" w:hAnsi="Arial" w:cs="Arial" w:hint="cs"/>
                      <w:b/>
                      <w:bCs/>
                      <w:color w:val="800000"/>
                      <w:sz w:val="36"/>
                      <w:szCs w:val="36"/>
                      <w:u w:val="single"/>
                      <w:rtl/>
                    </w:rPr>
                    <w:t xml:space="preserve">                       الـــــــتفــــــــــــســــــــير بال</w:t>
                  </w:r>
                  <w:r w:rsidR="00DB6441">
                    <w:rPr>
                      <w:rFonts w:ascii="Arial" w:eastAsia="Times New Roman" w:hAnsi="Arial" w:cs="Arial" w:hint="cs"/>
                      <w:b/>
                      <w:bCs/>
                      <w:color w:val="800000"/>
                      <w:sz w:val="36"/>
                      <w:szCs w:val="36"/>
                      <w:u w:val="single"/>
                      <w:rtl/>
                    </w:rPr>
                    <w:t xml:space="preserve">ــــمأثــــــــــــــــــور         </w:t>
                  </w:r>
                </w:p>
              </w:tc>
            </w:tr>
            <w:tr w:rsidR="008D7CA6" w:rsidRPr="008D7CA6">
              <w:trPr>
                <w:tblCellSpacing w:w="15" w:type="dxa"/>
              </w:trPr>
              <w:tc>
                <w:tcPr>
                  <w:tcW w:w="0" w:type="auto"/>
                  <w:vAlign w:val="center"/>
                  <w:hideMark/>
                </w:tcPr>
                <w:p w:rsidR="008D7CA6" w:rsidRPr="008D7CA6" w:rsidRDefault="008D7CA6" w:rsidP="008D7CA6">
                  <w:pPr>
                    <w:bidi/>
                    <w:spacing w:after="0" w:line="240" w:lineRule="auto"/>
                    <w:jc w:val="both"/>
                    <w:rPr>
                      <w:rFonts w:ascii="Tahoma" w:eastAsia="Times New Roman" w:hAnsi="Tahoma" w:cs="Tahoma"/>
                      <w:sz w:val="20"/>
                      <w:szCs w:val="20"/>
                    </w:rPr>
                  </w:pPr>
                  <w:hyperlink r:id="rId7" w:history="1">
                    <w:r w:rsidRPr="008D7CA6">
                      <w:rPr>
                        <w:rFonts w:ascii="Arial" w:eastAsia="Times New Roman" w:hAnsi="Arial" w:cs="Simplified Arabic" w:hint="cs"/>
                        <w:b/>
                        <w:bCs/>
                        <w:color w:val="C58B21"/>
                        <w:rtl/>
                      </w:rPr>
                      <w:t>فضيلة الشيخ / مساعد</w:t>
                    </w:r>
                    <w:r w:rsidRPr="008D7CA6">
                      <w:rPr>
                        <w:rFonts w:ascii="Arial" w:eastAsia="Times New Roman" w:hAnsi="Arial" w:cs="Simplified Arabic" w:hint="cs"/>
                        <w:b/>
                        <w:bCs/>
                        <w:color w:val="C58B21"/>
                      </w:rPr>
                      <w:t xml:space="preserve"> </w:t>
                    </w:r>
                    <w:r w:rsidRPr="008D7CA6">
                      <w:rPr>
                        <w:rFonts w:ascii="Arial" w:eastAsia="Times New Roman" w:hAnsi="Arial" w:cs="Simplified Arabic" w:hint="cs"/>
                        <w:b/>
                        <w:bCs/>
                        <w:color w:val="C58B21"/>
                        <w:rtl/>
                      </w:rPr>
                      <w:t>الطيار</w:t>
                    </w:r>
                  </w:hyperlink>
                </w:p>
              </w:tc>
            </w:tr>
            <w:tr w:rsidR="008D7CA6" w:rsidRPr="008D7CA6">
              <w:trPr>
                <w:tblCellSpacing w:w="15" w:type="dxa"/>
              </w:trPr>
              <w:tc>
                <w:tcPr>
                  <w:tcW w:w="0" w:type="auto"/>
                  <w:vAlign w:val="center"/>
                  <w:hideMark/>
                </w:tcPr>
                <w:p w:rsidR="008D7CA6" w:rsidRPr="008D7CA6" w:rsidRDefault="008D7CA6" w:rsidP="008D7CA6">
                  <w:pPr>
                    <w:bidi/>
                    <w:spacing w:after="0" w:line="240" w:lineRule="auto"/>
                    <w:jc w:val="both"/>
                    <w:rPr>
                      <w:rFonts w:ascii="Tahoma" w:eastAsia="Times New Roman" w:hAnsi="Tahoma" w:cs="Tahoma"/>
                      <w:sz w:val="20"/>
                      <w:szCs w:val="20"/>
                    </w:rPr>
                  </w:pPr>
                </w:p>
              </w:tc>
            </w:tr>
          </w:tbl>
          <w:p w:rsidR="008D7CA6" w:rsidRPr="008D7CA6" w:rsidRDefault="008D7CA6" w:rsidP="008D7CA6">
            <w:pPr>
              <w:bidi/>
              <w:spacing w:after="0" w:line="240" w:lineRule="auto"/>
              <w:jc w:val="both"/>
              <w:rPr>
                <w:rFonts w:ascii="Tahoma" w:eastAsia="Times New Roman" w:hAnsi="Tahoma" w:cs="Tahoma"/>
                <w:sz w:val="20"/>
                <w:szCs w:val="20"/>
              </w:rPr>
            </w:pPr>
          </w:p>
        </w:tc>
      </w:tr>
      <w:tr w:rsidR="008D7CA6" w:rsidRPr="008D7CA6">
        <w:trPr>
          <w:tblCellSpacing w:w="0" w:type="dxa"/>
        </w:trPr>
        <w:tc>
          <w:tcPr>
            <w:tcW w:w="0" w:type="auto"/>
            <w:tcMar>
              <w:top w:w="210" w:type="dxa"/>
              <w:left w:w="210" w:type="dxa"/>
              <w:bottom w:w="210" w:type="dxa"/>
              <w:right w:w="210" w:type="dxa"/>
            </w:tcMar>
            <w:hideMark/>
          </w:tcPr>
          <w:p w:rsidR="008D7CA6" w:rsidRPr="008D7CA6" w:rsidRDefault="008D7CA6" w:rsidP="008D7CA6">
            <w:pPr>
              <w:bidi/>
              <w:spacing w:after="0" w:line="240" w:lineRule="auto"/>
              <w:jc w:val="both"/>
              <w:rPr>
                <w:rFonts w:ascii="Tahoma" w:eastAsia="Times New Roman" w:hAnsi="Tahoma" w:cs="Tahoma"/>
                <w:sz w:val="20"/>
                <w:szCs w:val="20"/>
              </w:rPr>
            </w:pP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Pr>
            </w:pPr>
            <w:r w:rsidRPr="008D7CA6">
              <w:rPr>
                <w:rFonts w:ascii="Arial" w:eastAsia="Times New Roman" w:hAnsi="Arial" w:cs="Simplified Arabic"/>
                <w:b/>
                <w:bCs/>
                <w:color w:val="FF0000"/>
                <w:sz w:val="27"/>
                <w:szCs w:val="27"/>
                <w:rtl/>
              </w:rPr>
              <w:t>التفسير بالمأثور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FF0000"/>
                <w:sz w:val="27"/>
                <w:szCs w:val="27"/>
                <w:rtl/>
              </w:rPr>
              <w:t>نقد للمصطلح وتأصيل</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مساعد سليمان الطيّار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إن المصطلحات العلمية يلزم أن تكون دقيقة في ذاتها ونتائجها، وإلا وقع فيها وفي نتائجها الخلل والقصور، ومن هذه المصطلحات التي حدث فيها الخـلل مصطلح (التفسير بالمأثور)، وفي هذا المصطلح أمران: أنواعه ، وحكمه.</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أما أنواعه</w:t>
            </w:r>
            <w:r w:rsidRPr="008D7CA6">
              <w:rPr>
                <w:rFonts w:ascii="Arial" w:eastAsia="Times New Roman" w:hAnsi="Arial" w:cs="Simplified Arabic"/>
                <w:b/>
                <w:bCs/>
                <w:sz w:val="27"/>
                <w:szCs w:val="27"/>
                <w:rtl/>
              </w:rPr>
              <w:t>، فقد حدّها من ذكر هذا المصطلح من المعاصرين بأربعة، هـي: (تفـسـيـر القـرآن بالقرآن ، وبالسنة ، وبأقوال الصحابة ، وبأقوال التابعين).(1)</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وغالباً ما يحكي هؤلاء الخلاف في جعل تفسير التابعي من قبيل المأثور.(2)</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وأما حكمه</w:t>
            </w:r>
            <w:r w:rsidRPr="008D7CA6">
              <w:rPr>
                <w:rFonts w:ascii="Arial" w:eastAsia="Times New Roman" w:hAnsi="Arial" w:cs="Simplified Arabic"/>
                <w:b/>
                <w:bCs/>
                <w:sz w:val="27"/>
                <w:szCs w:val="27"/>
                <w:rtl/>
              </w:rPr>
              <w:t xml:space="preserve"> ، فبعض من درج على هذا المصطلح ينتهي إلى وجوب الأخذ به.(3)</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xml:space="preserve">وأقدم من رأيته نص على كون هذه الأربعة هي التفسير بالمأثور الشيخ محمد بن عبدالعظيم الـزرقـانـي ، حيث ذكر تحت موضوع (التفسير بالمأثور) ما يلي: (هو ما جاء في القرآن أو السنة أو كلام الصحابة تبايناً لمراد الله من كتابـه) ثم قال: (وأما ما ينقل عن التابعين ففيه خلاف بيـن العلماء: منهم من اعتبره من المأثور لأنهم تلقوه من الصحابة غالباً ومنهم من قال: إنه من </w:t>
            </w:r>
            <w:r w:rsidRPr="008D7CA6">
              <w:rPr>
                <w:rFonts w:ascii="Arial" w:eastAsia="Times New Roman" w:hAnsi="Arial" w:cs="Simplified Arabic"/>
                <w:b/>
                <w:bCs/>
                <w:sz w:val="27"/>
                <w:szCs w:val="27"/>
                <w:u w:val="single"/>
                <w:rtl/>
              </w:rPr>
              <w:t>التفسير</w:t>
            </w:r>
            <w:r w:rsidRPr="008D7CA6">
              <w:rPr>
                <w:rFonts w:ascii="Arial" w:eastAsia="Times New Roman" w:hAnsi="Arial" w:cs="Simplified Arabic"/>
                <w:b/>
                <w:bCs/>
                <w:sz w:val="27"/>
                <w:szCs w:val="27"/>
                <w:rtl/>
              </w:rPr>
              <w:t xml:space="preserve"> بالرأي).(4)</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xml:space="preserve">ثم جاء بعده الشيخ محمد حسين الذهبي (ت: 1977 م) فذكر هذه الأنواع الأربعة تحت مصطلح (التفسير المأثور) ، وقد علل لدخول تفسير التابعي في المأثور بقوله: (وإنما أدرجنا في </w:t>
            </w:r>
            <w:r w:rsidRPr="008D7CA6">
              <w:rPr>
                <w:rFonts w:ascii="Arial" w:eastAsia="Times New Roman" w:hAnsi="Arial" w:cs="Simplified Arabic"/>
                <w:b/>
                <w:bCs/>
                <w:sz w:val="27"/>
                <w:szCs w:val="27"/>
                <w:u w:val="single"/>
                <w:rtl/>
              </w:rPr>
              <w:t>التفسير</w:t>
            </w:r>
            <w:r w:rsidRPr="008D7CA6">
              <w:rPr>
                <w:rFonts w:ascii="Arial" w:eastAsia="Times New Roman" w:hAnsi="Arial" w:cs="Simplified Arabic"/>
                <w:b/>
                <w:bCs/>
                <w:sz w:val="27"/>
                <w:szCs w:val="27"/>
                <w:rtl/>
              </w:rPr>
              <w:t xml:space="preserve"> المأثور ما روي عن التابعين وإن كان فيه خلاف: هل هو من قبيل المأثور أو من قبيل الـرأي؟ لأننا وجدنا كتب </w:t>
            </w:r>
            <w:r w:rsidRPr="008D7CA6">
              <w:rPr>
                <w:rFonts w:ascii="Arial" w:eastAsia="Times New Roman" w:hAnsi="Arial" w:cs="Simplified Arabic"/>
                <w:b/>
                <w:bCs/>
                <w:sz w:val="27"/>
                <w:szCs w:val="27"/>
                <w:u w:val="single"/>
                <w:rtl/>
              </w:rPr>
              <w:t>التفسير</w:t>
            </w:r>
            <w:r w:rsidRPr="008D7CA6">
              <w:rPr>
                <w:rFonts w:ascii="Arial" w:eastAsia="Times New Roman" w:hAnsi="Arial" w:cs="Simplified Arabic"/>
                <w:b/>
                <w:bCs/>
                <w:sz w:val="27"/>
                <w:szCs w:val="27"/>
                <w:rtl/>
              </w:rPr>
              <w:t xml:space="preserve"> المأثور كتفسير ابن جرير وغيره لم تقتصر على ما ذكر مما روي عن النبي -</w:t>
            </w:r>
            <w:r w:rsidRPr="008D7CA6">
              <w:rPr>
                <w:rFonts w:ascii="Arial" w:eastAsia="Times New Roman" w:hAnsi="Arial" w:cs="Simplified Arabic"/>
                <w:b/>
                <w:bCs/>
                <w:sz w:val="27"/>
                <w:szCs w:val="27"/>
                <w:rtl/>
              </w:rPr>
              <w:lastRenderedPageBreak/>
              <w:t xml:space="preserve">صلى الله عليه وسلم- وما روي عن الصحابة ، بل ضمنت ذلك ما نقل عن التابعين في </w:t>
            </w:r>
            <w:r w:rsidRPr="008D7CA6">
              <w:rPr>
                <w:rFonts w:ascii="Arial" w:eastAsia="Times New Roman" w:hAnsi="Arial" w:cs="Simplified Arabic"/>
                <w:b/>
                <w:bCs/>
                <w:sz w:val="27"/>
                <w:szCs w:val="27"/>
                <w:u w:val="single"/>
                <w:rtl/>
              </w:rPr>
              <w:t>التفسير</w:t>
            </w:r>
            <w:r w:rsidRPr="008D7CA6">
              <w:rPr>
                <w:rFonts w:ascii="Arial" w:eastAsia="Times New Roman" w:hAnsi="Arial" w:cs="Simplified Arabic"/>
                <w:b/>
                <w:bCs/>
                <w:sz w:val="27"/>
                <w:szCs w:val="27"/>
                <w:rtl/>
              </w:rPr>
              <w:t>)(5).</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منشأ الخطأ في هذا المصطلح</w:t>
            </w:r>
            <w:r w:rsidRPr="008D7CA6">
              <w:rPr>
                <w:rFonts w:ascii="Arial" w:eastAsia="Times New Roman" w:hAnsi="Arial" w:cs="Simplified Arabic"/>
                <w:b/>
                <w:bCs/>
                <w:sz w:val="27"/>
                <w:szCs w:val="27"/>
                <w:rtl/>
              </w:rPr>
              <w:t>:</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إنه فيما يظهر قد وقع نقل بالمعنى عـمـن سبق أن كتب في هذا الموضوع وبدلاً من أن يؤخذ عنه مصطلحه استبدل به هذا المصطلح الـــذي لم يتواءم مع هذه الأنواع ، ولا مع حكمها كما سيأتي.</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والمصدر الذي يظهر أن هذه الأنواع نُقلت مـنـــه هو رسالة شيخ الإسلام ابن تيمية المسماة (مقدمة في أصول التفسير).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وقد وردت هذه الأنواع الأربعة تحت مـوضـــوع (أحسن طرق التفسير)(6) فهي عند شيخ الإسلام (طرق) وليست (مأثوراً).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ولو تأملت النقلين السابقين ، فإنك ستجد أنهـمـا يحكيان الخلاف في كون تفسير التابعي مأثوراً أم لا.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وستجد هذا موجوداً في رسالة شيخ الإسلام ، ولكن البحث فيه ليس عن كونه مأثوراً أم لا ، بل عن كونه حجة أم لا؟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وبين الأمرين فرق واضحٌ ، إذ لم يرد عن العلماء هل هو مأثور أم لا؟ لأن هذا المصطلح نشأ متأخراً ، بل الوارد هل هو حجة أم لا؟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وإن كان هذا التأصيل صحيحاً ، فإن اصطلاح شيخ الإسلام أدق من اصطلاح المعاصرين ، وأصح حكماً.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فهذه التقسيمات الأربعة لا إشكال في كونها طرقــاً، كـمــــا لا إشكال في أنها أحسن طرق التفسير ، فمن أراد أن يفسر فعليه الرجوع إلى هذه الطرق.</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نقد مصطلح (التفسير المأثور):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مصطلح المعاصرين عليه نقد حيث يتوجه النقد إلى أمرين وإليك بيانه:</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lastRenderedPageBreak/>
              <w:t>1- ما يتعلق بصحة دخول هذه الأنواع في مسمى (المأثور).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2- ما يتعلق بالنتيجة المترتبة عليه ، وهي (الحكم).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أما الأول</w:t>
            </w:r>
            <w:r w:rsidRPr="008D7CA6">
              <w:rPr>
                <w:rFonts w:ascii="Arial" w:eastAsia="Times New Roman" w:hAnsi="Arial" w:cs="Simplified Arabic"/>
                <w:b/>
                <w:bCs/>
                <w:sz w:val="27"/>
                <w:szCs w:val="27"/>
                <w:rtl/>
              </w:rPr>
              <w:t>: فإنه يظهر أن هذا المصطلح غير دقيق في إدخال هذه الأنواع الأربعة فيه ، فهو لا ينطبق عليها جميعاً، بـل ويـخـــرج مـا هــو منها، فهذا المصطلح غير جامع ولا مانع لسببين:</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أ- أن المأثور هو ما أثر عمن سلف ، ويطلق في الاصطلاح على ما أُثر عن النبي -صلى الله عليه وسلم- والصحابة ومن بعدهم من التابعين وتابعيهم.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فهل ينطبق هذا على تفسير القرآن بالقرآن؟</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إن تفسير القرآن بالقرآن لا نقل فيه حتى يكون طريـقــه الأثر ، بل هو داخل ضمن تفسير من فسر به.</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فإن كان المفسر به الرسول -صلى الله عليه وسلم- فهو من التفسير النبوي.</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وإن كان المفسر به الصحابي ، فله حكم تفسير الصحابي.</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وإن كان المفسر به التابعي ، فله حكم تفسير التابعي.</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وهكذا كل من فسر آية بآية فإن هذا التفسير ينسب إليه.</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ب- أن المأثور في التفسير يشمل ما أُثر عن تابعي التابعين كذلك ومن دوّن التفسير المأثور فإنه ينقل أقوالهم ، كالطبري (310) وابن أبي حاتم (ت: 327) ، وغيرهما.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بل قد ينقلون أقوال من دونهم في الطبقة، كمالك بن أنس ، وغيره. ولو اطلعت على أوسع كتاب جمع التفسير المأثور، وهــــو (الدر المنثور في التفسير بالمأثور) لرأيت من ذلك شيئاً كثيراً.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ولو قُبلت العلة التي ذكرها الشيخ مـحـمــد حسين الذهبي في إدخاله تفسير التابعين في المأثور ، لصح تنزيلها على المأثور عن تابعي التابعين ومن دونهم.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lastRenderedPageBreak/>
              <w:t>وقد نشأ الخطأ في تصور ونقل الخلاف في تفـسـيـر الـتـابعي ، وهل يندرج تحت التفسير بالمأثور ، أم لا يصح أن يوصف بأنه تفسير مأثور؟ ونزّل كلام العلماء خطأ في حكم تفسير التابعي على قضية كونه تفسيراً مأثوراً أم غير مأثور ، ولم يكن حديث العلماء على كونه مأثوراً أم غير مأثور ، إذ لم يكن ذلك المصطلح معروفاً ولا شائعاً في وقتهم.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وأما الثاني</w:t>
            </w:r>
            <w:r w:rsidRPr="008D7CA6">
              <w:rPr>
                <w:rFonts w:ascii="Arial" w:eastAsia="Times New Roman" w:hAnsi="Arial" w:cs="Simplified Arabic"/>
                <w:b/>
                <w:bCs/>
                <w:sz w:val="27"/>
                <w:szCs w:val="27"/>
                <w:rtl/>
              </w:rPr>
              <w:t xml:space="preserve"> وهو ما يتعلق بالحكم فإن بعض من درج على هذا المصطلح نصّ على وجوب اتباعه والأخذ به(7) ، وهو مستوحى من كلام آخرين(8).</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ومما يلحظ على هذا الحكم أنهم يحكون الخلاف في تفسير التابعي من حيث الاحتجاج ، بل قد حكى بعضهم الخلاف في تفسير الصحابي(9).</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ثم يحكمون في نهاية الأمر بوجوب اتباعه والأخذ به،فكيف يتفق هذا مع حكاية الخلاف الوارد عن الأئمة دون استناد يرجح وجوب الأخذ بق ول التابعي ، فهم يمرون على هذا الخلاف مروراً عاماً بلا تحقيق.</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ثم إن كان ما ورد عن الصحابة والتابعين مأثوراً يجب الأخــــذ بـه على اصطلاحهم فما العمل فيما ورد عنهم من خلاف محقق في التفسير؟ وكيف يقال: يجب الأخذ به؟</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ومن نتائج عدم دقة هذا المصطلح نشأ خطأ آخر ، وهو جعل التفسير بالرأي مقابلاً للتفسير بالمأثور وهو الأنواع الأربعة السابقة حتى صار في هذه المسألة خلط وتخبط،وبنيت على هذا التقسيم معلومات غير صحيحة ، ومنها: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1- أن بعضهم يقررون في تفسير الصحابة والتابعين أنهم اجتهدوا وقالوا فيـه برأيهم ، ثم يجـعلون ما قالـوه بهذا الرأي من قبيل المأثور ناسـين ما مـرروه من قول بأنهم قالوا بالرأي ، فيجعل قولهم مأثوراً وقول من بعدهم رأياً ، فكيف هذا؟ وإذا كان الصـحـابـــة قالوا في التفسير برأيهم فلا معنى لتفضيلهم على غيرهم ممن بعدهم في هذه المسألة ، وهذا لا يعني مساواة من بعدهم بهم.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xml:space="preserve">2- كما تجد أن كتب التفسير تُقسّم إلى كتب التفسير بالمأثور وكتب التفسير بالرأي، وعلى سبيال المثال يجعلون تفسير ابن جرير من قبيل التفسير بالمأثور ، ولو أردت تطبيق مصطلح التفسير </w:t>
            </w:r>
            <w:r w:rsidRPr="008D7CA6">
              <w:rPr>
                <w:rFonts w:ascii="Arial" w:eastAsia="Times New Roman" w:hAnsi="Arial" w:cs="Simplified Arabic"/>
                <w:b/>
                <w:bCs/>
                <w:sz w:val="27"/>
                <w:szCs w:val="27"/>
                <w:rtl/>
              </w:rPr>
              <w:lastRenderedPageBreak/>
              <w:t>بالمأثور ، فإنك ستجد اختيارات ابن جرير وترجماته ، فهل هذه من قبيل الرأي أم من قبيل المأثور؟ فإن كان الأول فكيف يحكم عليه بأنه مأثـور؟! وإن كان الثاني فـإنـه غير منطبق لوجود اجتهادات ابن جرير ، وفرق بين أن نقـــول: فيه تفسير بالمأثور ، أو نقول هو تفسير بالمأثور.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3- وقــد فـهـم بـعـض العلماء أن من فسر بالأثر فإنه لا اجتهاد ولا رأي له بل هو مجرد ناقل، لا عمل له غـيـر النقل ، ويظهر أن هذا مبني على ما سبق مـــن أن التفسير بالمأثور الذي يشمل الأربعة السابقة يقابله التفسير بالرأي.</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xml:space="preserve">ومن ذلك ما قاله الشيخ الطاهر بن عاشور رحمه الله: (أما الذين جمدوا على القول بأن تفسير القرآن يجب ألا يعدو ما هو مأثور ، فهم رموا هذه الكلمة على عواهـنهــا ، ولم يوضحوا مرادهم من المأثور عمن يؤثر...). ثم قال: (وقد التزم الطـبري في تفسـيره أن يقتصر على ما هو مروي عن الصحابة والتابعين لكنه لا يلبث في كل آية أن يتخطى ذلك إلى اختياره منها،وترجيح بعضها على بعـض بشواهد من كلام العرب ، وحسبه بذلك تجاوزاً لما حدده من الاقتصار على </w:t>
            </w:r>
            <w:r w:rsidRPr="008D7CA6">
              <w:rPr>
                <w:rFonts w:ascii="Arial" w:eastAsia="Times New Roman" w:hAnsi="Arial" w:cs="Simplified Arabic"/>
                <w:b/>
                <w:bCs/>
                <w:sz w:val="27"/>
                <w:szCs w:val="27"/>
                <w:u w:val="single"/>
                <w:rtl/>
              </w:rPr>
              <w:t>التفسـير</w:t>
            </w:r>
            <w:r w:rsidRPr="008D7CA6">
              <w:rPr>
                <w:rFonts w:ascii="Arial" w:eastAsia="Times New Roman" w:hAnsi="Arial" w:cs="Simplified Arabic"/>
                <w:b/>
                <w:bCs/>
                <w:sz w:val="27"/>
                <w:szCs w:val="27"/>
                <w:rtl/>
              </w:rPr>
              <w:t xml:space="preserve"> بالمأثور ، وذلك طريق ليس بنهج ، وقد سبقه إليه بقي بن مخلد ، ولم نقف على تفـسـيـره، وشاكل الطبري فيه معاصروه ، مثل ابن أبي حاتم وابن مردويه والحاكم، فلله درّ الذين لم يحبسوا أنفسهم في تفسير القرآن على ما هو مأثور،مثل الفراء وأبي عبيدة من الأولين ، والزجاج والرماني ممن بعدهم ، ثم من سلكوا طريقهم، مثل الزمخشري وابن عطية).(10)</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وها هنا وقفات ناقدة لهذا الكلام: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الأولى</w:t>
            </w:r>
            <w:r w:rsidRPr="008D7CA6">
              <w:rPr>
                <w:rFonts w:ascii="Arial" w:eastAsia="Times New Roman" w:hAnsi="Arial" w:cs="Simplified Arabic"/>
                <w:b/>
                <w:bCs/>
                <w:sz w:val="27"/>
                <w:szCs w:val="27"/>
                <w:rtl/>
              </w:rPr>
              <w:t>: لم يصرح الطـاهـر بن عاشور بأولئك الذين »جمدوا على القـــــول بأن تفسير القرآن يجـب ألا يعدو ما هـو مأثور« وفي ظني أن هذا لم يُقَل بـه ولكنه تأوّلٌ لكلام من يرى وجوب الأخذ بما أثر عن السلف.</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الثانية</w:t>
            </w:r>
            <w:r w:rsidRPr="008D7CA6">
              <w:rPr>
                <w:rFonts w:ascii="Arial" w:eastAsia="Times New Roman" w:hAnsi="Arial" w:cs="Simplified Arabic"/>
                <w:b/>
                <w:bCs/>
                <w:sz w:val="27"/>
                <w:szCs w:val="27"/>
                <w:rtl/>
              </w:rPr>
              <w:t>: لم يورد الشيخ دلـيــلاً من كلام الطبري يدلّ على التزامه بما روي عن الصحابة والتابعين فقط ، ولم يرد عن الطبري أنه يقتصر عليهم ولا يتعدى ذلك إلى الترجيح.</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الثالثة</w:t>
            </w:r>
            <w:r w:rsidRPr="008D7CA6">
              <w:rPr>
                <w:rFonts w:ascii="Arial" w:eastAsia="Times New Roman" w:hAnsi="Arial" w:cs="Simplified Arabic"/>
                <w:b/>
                <w:bCs/>
                <w:sz w:val="27"/>
                <w:szCs w:val="27"/>
                <w:rtl/>
              </w:rPr>
              <w:t xml:space="preserve">: أنه جعل منهج الطبري كمنهج ابن أبي حاتم وابن مردويه والحاكم ، وشتان بين منهج الطبري الناقد المعتمد على روايات السـلــف ومنهج هؤلاء الذين اعتمدوا النقل فقط دون التعقيب والتعليق ، وهذا المنهج الذي سـلـكـــوه لا يُعاب عليهم ؛ لأنهم لم يشترطوا التعليق على الآيات </w:t>
            </w:r>
            <w:r w:rsidRPr="008D7CA6">
              <w:rPr>
                <w:rFonts w:ascii="Arial" w:eastAsia="Times New Roman" w:hAnsi="Arial" w:cs="Simplified Arabic"/>
                <w:b/>
                <w:bCs/>
                <w:sz w:val="27"/>
                <w:szCs w:val="27"/>
                <w:rtl/>
              </w:rPr>
              <w:lastRenderedPageBreak/>
              <w:t>والتعقيب على المرويات ، بل كـانـــوا يــوردون ما وصلهم من تفاسير السلف ، وهم بهذا لا يُعدون مفسرين ، بل هم ناقلو تفسير.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ومن هنا ترى أن الشيخ بن عاشور يرى أن من التزم بالمأثور فإنه لا يكون له رأي كالطبري. وأنّ من لم يلتزم بالمأثور فلله دره! كما قال.</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وقد سبق أن ذكرت لك أن الصحابة والتابعين ومن بعدهم اعتمدوا التفسير بالرأي وقالوا به ، وإن من الأخطاء التي وقعت مقابلة أقوالهم التي هي من قبيل الرأي بأقوال أبـي عبـيدة والفراء وغيرهم ، بل الأعجب من ذلك أن تفاسيرهم اللغوية تجعل مــن الـمـأثور وتُـقـابل بتفاسير أبي عبيدة والفراء والزجاج اللغوية ، وتجعل هذه لغوية.</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كل هذه النتائج حصلت لعدم دقة مصطلح التفسير بالمأثور.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9933"/>
                <w:sz w:val="27"/>
                <w:szCs w:val="27"/>
                <w:rtl/>
              </w:rPr>
              <w:t xml:space="preserve">ما هو </w:t>
            </w:r>
            <w:r w:rsidRPr="008D7CA6">
              <w:rPr>
                <w:rFonts w:ascii="Arial" w:eastAsia="Times New Roman" w:hAnsi="Arial" w:cs="Simplified Arabic"/>
                <w:b/>
                <w:bCs/>
                <w:color w:val="009933"/>
                <w:sz w:val="27"/>
                <w:szCs w:val="27"/>
                <w:u w:val="single"/>
                <w:rtl/>
              </w:rPr>
              <w:t>التفسير</w:t>
            </w:r>
            <w:r w:rsidRPr="008D7CA6">
              <w:rPr>
                <w:rFonts w:ascii="Arial" w:eastAsia="Times New Roman" w:hAnsi="Arial" w:cs="Simplified Arabic"/>
                <w:b/>
                <w:bCs/>
                <w:color w:val="009933"/>
                <w:sz w:val="27"/>
                <w:szCs w:val="27"/>
                <w:rtl/>
              </w:rPr>
              <w:t xml:space="preserve"> بالمأثور:</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بعد هذا العرض ، وتجلية مصطلح التفسير بالمأثور المعتمد في كتب بعض المعاصرين يتجه سؤال ، وهو: هل يوجد تفسير يسمى مأثوراً؟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والجواب عن هذا (نعم) ، ولكن لا يرتبط بحكم من حيث وجوب الاتباع وعدمه ، بل له حكم غير هذا.</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فالمأثور هو ما أثر عن رسول الله -صلى الله عليه وسلم- وعن صحابته وعن التابعين وعن تابعيهم ممن عُرفوا بالتفسير ، وكانت لهم آراء مستقلة مبنية على اجتهادهم.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وعلى هذا درج من ألف في التفسير المأثور؛ كبقي بن مخلد ، وابن أبي حاتم والحاكم ، وغيرهم.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وقد حاول السيوطي جمع المأثور في كتابه (الدر المنثور في التفسير بالمأثور) وذكر الروايات الــواردة عــن الرسول -صلى الله عليه وسلم- وصحابته وتابعيهم وتابعي تابعيهم ومــن بعدهم.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 xml:space="preserve">وهذا لا يبنى عليه حكم من حيث القبول والرد ، ولكن يقال: إن هذه الطرق هي أحسن طرق التفسير </w:t>
            </w:r>
            <w:r w:rsidRPr="008D7CA6">
              <w:rPr>
                <w:rFonts w:ascii="Arial" w:eastAsia="Times New Roman" w:hAnsi="Arial" w:cs="Simplified Arabic"/>
                <w:b/>
                <w:bCs/>
                <w:sz w:val="27"/>
                <w:szCs w:val="27"/>
                <w:rtl/>
              </w:rPr>
              <w:lastRenderedPageBreak/>
              <w:t>، وإن من شروط المفسر معرفة هذه الطرق.</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أما ما يجب اتباعه والأخذ به في التفسير فيمكن تقسيمه إلى أربعة أنواع:</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ا</w:t>
            </w:r>
            <w:r w:rsidRPr="008D7CA6">
              <w:rPr>
                <w:rFonts w:ascii="Arial" w:eastAsia="Times New Roman" w:hAnsi="Arial" w:cs="Simplified Arabic"/>
                <w:b/>
                <w:bCs/>
                <w:color w:val="0000FF"/>
                <w:sz w:val="27"/>
                <w:szCs w:val="27"/>
                <w:rtl/>
              </w:rPr>
              <w:t>لأول</w:t>
            </w:r>
            <w:r w:rsidRPr="008D7CA6">
              <w:rPr>
                <w:rFonts w:ascii="Arial" w:eastAsia="Times New Roman" w:hAnsi="Arial" w:cs="Simplified Arabic"/>
                <w:b/>
                <w:bCs/>
                <w:sz w:val="27"/>
                <w:szCs w:val="27"/>
                <w:rtl/>
              </w:rPr>
              <w:t>: ما صح من تفسير النبي -صلى الله عليه وسلم-.</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الثاني</w:t>
            </w:r>
            <w:r w:rsidRPr="008D7CA6">
              <w:rPr>
                <w:rFonts w:ascii="Arial" w:eastAsia="Times New Roman" w:hAnsi="Arial" w:cs="Simplified Arabic"/>
                <w:b/>
                <w:bCs/>
                <w:sz w:val="27"/>
                <w:szCs w:val="27"/>
                <w:rtl/>
              </w:rPr>
              <w:t>: ما صح مما روي عن الصحابة مما له حكم المرفوع كأسباب النزول والغيبيات.</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الثالث</w:t>
            </w:r>
            <w:r w:rsidRPr="008D7CA6">
              <w:rPr>
                <w:rFonts w:ascii="Arial" w:eastAsia="Times New Roman" w:hAnsi="Arial" w:cs="Simplified Arabic"/>
                <w:b/>
                <w:bCs/>
                <w:sz w:val="27"/>
                <w:szCs w:val="27"/>
                <w:rtl/>
              </w:rPr>
              <w:t>: ما أجمع عليه الصحابة أو التابعون ؛ لأن إجماعهم حجة يجب الأخذ به.</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color w:val="0000FF"/>
                <w:sz w:val="27"/>
                <w:szCs w:val="27"/>
                <w:rtl/>
              </w:rPr>
              <w:t>الرابع</w:t>
            </w:r>
            <w:r w:rsidRPr="008D7CA6">
              <w:rPr>
                <w:rFonts w:ascii="Arial" w:eastAsia="Times New Roman" w:hAnsi="Arial" w:cs="Simplified Arabic"/>
                <w:b/>
                <w:bCs/>
                <w:sz w:val="27"/>
                <w:szCs w:val="27"/>
                <w:rtl/>
              </w:rPr>
              <w:t>: مــا ورد عن الصحابة خصوصاً أو عن التابعين ممن هم في عصر الاحتجاج اللغوي من تفسير لـغـــوي ، فإن كان مجمعاً عليه فلا إشكال في قبوله ، وحجيته ، وإن ورد عن واحد منهم ولم يعرف له مخالف فهو مقبول كما قال الزركشي: (ينظر في تفسير الصحابي فإن فسره من حيث اللغة فهم أهل اللسان ، فلا شك في اعتمادهم).(11).</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وإن اختلفوا في معنى لفظة لاحتمالها أكثر من معنى ، فهذا يعمد فيه إلى المرجحات.</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أما ما رووه عن التابعي فهو أقل في الرتبة مما رووه عن الصحابي ، ومع ذلك فإنه يعتمد ويقدم على غيره.</w:t>
            </w:r>
          </w:p>
          <w:p w:rsidR="008D7CA6" w:rsidRPr="008D7CA6" w:rsidRDefault="008D7CA6" w:rsidP="008D7CA6">
            <w:pPr>
              <w:bidi/>
              <w:spacing w:before="100" w:beforeAutospacing="1" w:after="100" w:afterAutospacing="1" w:line="240" w:lineRule="auto"/>
              <w:ind w:firstLine="210"/>
              <w:jc w:val="both"/>
              <w:rPr>
                <w:rFonts w:ascii="Arial" w:eastAsia="Times New Roman" w:hAnsi="Arial" w:cs="Arial"/>
                <w:b/>
                <w:bCs/>
                <w:rtl/>
              </w:rPr>
            </w:pPr>
            <w:r w:rsidRPr="008D7CA6">
              <w:rPr>
                <w:rFonts w:ascii="Arial" w:eastAsia="Times New Roman" w:hAnsi="Arial" w:cs="Simplified Arabic"/>
                <w:b/>
                <w:bCs/>
                <w:sz w:val="27"/>
                <w:szCs w:val="27"/>
                <w:rtl/>
              </w:rPr>
              <w:t>وصلى الله وسلم على نبينا محمد وعلى آله وصحبه.</w:t>
            </w:r>
          </w:p>
          <w:p w:rsidR="008D7CA6" w:rsidRPr="008D7CA6" w:rsidRDefault="008D7CA6" w:rsidP="008D7CA6">
            <w:pPr>
              <w:bidi/>
              <w:spacing w:after="0" w:line="240" w:lineRule="auto"/>
              <w:ind w:firstLine="210"/>
              <w:jc w:val="both"/>
              <w:rPr>
                <w:rFonts w:ascii="Arial" w:eastAsia="Times New Roman" w:hAnsi="Arial" w:cs="Arial"/>
                <w:b/>
                <w:bCs/>
                <w:rtl/>
              </w:rPr>
            </w:pPr>
            <w:r w:rsidRPr="008D7CA6">
              <w:rPr>
                <w:rFonts w:ascii="Arial" w:eastAsia="Times New Roman" w:hAnsi="Arial" w:cs="Arial"/>
                <w:b/>
                <w:bCs/>
              </w:rPr>
              <w:pict>
                <v:rect id="_x0000_i1025" style="width:234pt;height:.75pt" o:hrpct="500" o:hralign="right" o:hrstd="t" o:hrnoshade="t" o:hr="t" fillcolor="green" stroked="f"/>
              </w:pict>
            </w:r>
          </w:p>
          <w:p w:rsidR="008D7CA6" w:rsidRDefault="008D7CA6" w:rsidP="00DB6441">
            <w:pPr>
              <w:bidi/>
              <w:spacing w:before="100" w:beforeAutospacing="1" w:after="100" w:afterAutospacing="1" w:line="240" w:lineRule="auto"/>
              <w:ind w:firstLine="210"/>
              <w:rPr>
                <w:rFonts w:ascii="Arial" w:eastAsia="Times New Roman" w:hAnsi="Arial" w:cs="Simplified Arabic" w:hint="cs"/>
                <w:b/>
                <w:bCs/>
                <w:sz w:val="18"/>
                <w:szCs w:val="18"/>
                <w:rtl/>
              </w:rPr>
            </w:pPr>
            <w:r w:rsidRPr="008D7CA6">
              <w:rPr>
                <w:rFonts w:ascii="Arial" w:eastAsia="Times New Roman" w:hAnsi="Arial" w:cs="Simplified Arabic"/>
                <w:b/>
                <w:bCs/>
                <w:sz w:val="18"/>
                <w:szCs w:val="18"/>
                <w:rtl/>
              </w:rPr>
              <w:t xml:space="preserve">هـوامـش: </w:t>
            </w:r>
            <w:r w:rsidRPr="008D7CA6">
              <w:rPr>
                <w:rFonts w:ascii="Arial" w:eastAsia="Times New Roman" w:hAnsi="Arial" w:cs="Simplified Arabic"/>
                <w:b/>
                <w:bCs/>
                <w:sz w:val="18"/>
                <w:szCs w:val="18"/>
                <w:rtl/>
              </w:rPr>
              <w:br/>
              <w:t xml:space="preserve">(1)انظر على سبيل المثال: مناهل العرفان للزرقاني 2/1213 ، التفسير والمفسرون للذهبي 1/154 مباحث في علوم القرآن لمناع القطان. </w:t>
            </w:r>
            <w:r w:rsidRPr="008D7CA6">
              <w:rPr>
                <w:rFonts w:ascii="Arial" w:eastAsia="Times New Roman" w:hAnsi="Arial" w:cs="Simplified Arabic"/>
                <w:b/>
                <w:bCs/>
                <w:sz w:val="18"/>
                <w:szCs w:val="18"/>
                <w:rtl/>
              </w:rPr>
              <w:br/>
              <w:t xml:space="preserve">(2)انظر مثلاً: مناهل العرفان 2/13 ، التفسير والمفسرون 1/154 لمناع القطان 347. </w:t>
            </w:r>
            <w:r w:rsidRPr="008D7CA6">
              <w:rPr>
                <w:rFonts w:ascii="Arial" w:eastAsia="Times New Roman" w:hAnsi="Arial" w:cs="Simplified Arabic"/>
                <w:b/>
                <w:bCs/>
                <w:sz w:val="18"/>
                <w:szCs w:val="18"/>
                <w:rtl/>
              </w:rPr>
              <w:br/>
              <w:t xml:space="preserve">(3)انظر مثلاً: مباحث في علوم القرآن ، 350 ، وهذا ما يتوحى من عبارة الزرقاني. </w:t>
            </w:r>
            <w:r w:rsidRPr="008D7CA6">
              <w:rPr>
                <w:rFonts w:ascii="Arial" w:eastAsia="Times New Roman" w:hAnsi="Arial" w:cs="Simplified Arabic"/>
                <w:b/>
                <w:bCs/>
                <w:sz w:val="18"/>
                <w:szCs w:val="18"/>
                <w:rtl/>
              </w:rPr>
              <w:br/>
              <w:t xml:space="preserve">(4)مناهل العرفان 2/1213. </w:t>
            </w:r>
            <w:r w:rsidRPr="008D7CA6">
              <w:rPr>
                <w:rFonts w:ascii="Arial" w:eastAsia="Times New Roman" w:hAnsi="Arial" w:cs="Simplified Arabic"/>
                <w:b/>
                <w:bCs/>
                <w:sz w:val="18"/>
                <w:szCs w:val="18"/>
                <w:rtl/>
              </w:rPr>
              <w:br/>
              <w:t xml:space="preserve">(5)التفسير والمفسرون 1/15. </w:t>
            </w:r>
            <w:r w:rsidRPr="008D7CA6">
              <w:rPr>
                <w:rFonts w:ascii="Arial" w:eastAsia="Times New Roman" w:hAnsi="Arial" w:cs="Simplified Arabic"/>
                <w:b/>
                <w:bCs/>
                <w:sz w:val="18"/>
                <w:szCs w:val="18"/>
                <w:rtl/>
              </w:rPr>
              <w:br/>
              <w:t xml:space="preserve">(6)مقدمة في أصول التفسير ، تحقيق: عدنان زرزور ، ص 93. </w:t>
            </w:r>
            <w:r w:rsidRPr="008D7CA6">
              <w:rPr>
                <w:rFonts w:ascii="Arial" w:eastAsia="Times New Roman" w:hAnsi="Arial" w:cs="Simplified Arabic"/>
                <w:b/>
                <w:bCs/>
                <w:sz w:val="18"/>
                <w:szCs w:val="18"/>
                <w:rtl/>
              </w:rPr>
              <w:br/>
              <w:t>(7)انظر: مباحث في علوم القرآن للقطان ، 350.</w:t>
            </w:r>
            <w:r w:rsidRPr="008D7CA6">
              <w:rPr>
                <w:rFonts w:ascii="Arial" w:eastAsia="Times New Roman" w:hAnsi="Arial" w:cs="Simplified Arabic"/>
                <w:b/>
                <w:bCs/>
                <w:sz w:val="18"/>
                <w:szCs w:val="18"/>
                <w:rtl/>
              </w:rPr>
              <w:br/>
              <w:t xml:space="preserve">(8)كالزرقاني ، والذهبي ، والصباغ (لمحات في علوم القرآن ، 177 وما بعدها). </w:t>
            </w:r>
            <w:r w:rsidRPr="008D7CA6">
              <w:rPr>
                <w:rFonts w:ascii="Arial" w:eastAsia="Times New Roman" w:hAnsi="Arial" w:cs="Simplified Arabic"/>
                <w:b/>
                <w:bCs/>
                <w:sz w:val="18"/>
                <w:szCs w:val="18"/>
                <w:rtl/>
              </w:rPr>
              <w:br/>
              <w:t xml:space="preserve">(9)لمحات في علوم القرآن ، 180. </w:t>
            </w:r>
            <w:r w:rsidRPr="008D7CA6">
              <w:rPr>
                <w:rFonts w:ascii="Arial" w:eastAsia="Times New Roman" w:hAnsi="Arial" w:cs="Simplified Arabic"/>
                <w:b/>
                <w:bCs/>
                <w:sz w:val="18"/>
                <w:szCs w:val="18"/>
                <w:rtl/>
              </w:rPr>
              <w:br/>
              <w:t>(10)التحرير والتنوير للطاهر بن عاشور ، 1/32 ، 33.</w:t>
            </w:r>
            <w:r w:rsidR="00DB6441">
              <w:rPr>
                <w:rFonts w:ascii="Arial" w:eastAsia="Times New Roman" w:hAnsi="Arial" w:cs="Simplified Arabic" w:hint="cs"/>
                <w:b/>
                <w:bCs/>
                <w:sz w:val="18"/>
                <w:szCs w:val="18"/>
                <w:rtl/>
              </w:rPr>
              <w:t xml:space="preserve">        </w:t>
            </w:r>
          </w:p>
          <w:p w:rsidR="008D7CA6" w:rsidRPr="008D7CA6" w:rsidRDefault="004355F5" w:rsidP="00DB6441">
            <w:pPr>
              <w:bidi/>
              <w:spacing w:before="100" w:beforeAutospacing="1" w:after="100" w:afterAutospacing="1" w:line="240" w:lineRule="auto"/>
              <w:ind w:firstLine="210"/>
              <w:rPr>
                <w:rFonts w:ascii="Arial" w:eastAsia="Times New Roman" w:hAnsi="Arial" w:cs="Arial"/>
                <w:b/>
                <w:bCs/>
              </w:rPr>
            </w:pPr>
            <w:r>
              <w:rPr>
                <w:rFonts w:hint="cs"/>
                <w:sz w:val="52"/>
                <w:szCs w:val="52"/>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24.5pt;height:645pt" fillcolor="yellow" stroked="f">
                  <v:fill color2="#f93" angle="-135" focusposition=".5,.5" focussize="" focus="100%" type="gradientRadial">
                    <o:fill v:ext="view" type="gradientCenter"/>
                  </v:fill>
                  <v:shadow on="t" color="silver" opacity="52429f"/>
                  <v:textpath style="font-family:&quot;Impact&quot;;font-weight:bold;font-style:italic;v-text-kern:t" trim="t" fitpath="t" string="الاسم / كريم محمد عبدالسلام  &#10;الصف / العـــــاشر-2  &#10;المادة/ التربية الاسلامية &#10;الموضوع : بحث عن :- { التفسير بالمأثور }  &#10;الأستاذ الفاضل /عبد الله الحمادي&#10;"/>
                </v:shape>
              </w:pict>
            </w:r>
          </w:p>
        </w:tc>
      </w:tr>
    </w:tbl>
    <w:p w:rsidR="00784100" w:rsidRPr="00DB6441" w:rsidRDefault="00784100" w:rsidP="008D7CA6">
      <w:pPr>
        <w:jc w:val="both"/>
        <w:rPr>
          <w:sz w:val="52"/>
          <w:szCs w:val="52"/>
        </w:rPr>
      </w:pPr>
    </w:p>
    <w:sectPr w:rsidR="00784100" w:rsidRPr="00DB6441" w:rsidSect="00DB6441">
      <w:pgSz w:w="12240" w:h="15840"/>
      <w:pgMar w:top="1440" w:right="1440" w:bottom="1440" w:left="1440" w:header="720" w:footer="720" w:gutter="0"/>
      <w:pgBorders w:offsetFrom="page">
        <w:top w:val="vine" w:sz="24" w:space="24" w:color="auto"/>
        <w:left w:val="vine" w:sz="24" w:space="24" w:color="auto"/>
        <w:bottom w:val="vine" w:sz="24" w:space="24" w:color="auto"/>
        <w:right w:val="vine"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AD1" w:rsidRDefault="009E1AD1" w:rsidP="00DB6441">
      <w:pPr>
        <w:spacing w:after="0" w:line="240" w:lineRule="auto"/>
      </w:pPr>
      <w:r>
        <w:separator/>
      </w:r>
    </w:p>
  </w:endnote>
  <w:endnote w:type="continuationSeparator" w:id="0">
    <w:p w:rsidR="009E1AD1" w:rsidRDefault="009E1AD1" w:rsidP="00DB6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AD1" w:rsidRDefault="009E1AD1" w:rsidP="00DB6441">
      <w:pPr>
        <w:spacing w:after="0" w:line="240" w:lineRule="auto"/>
      </w:pPr>
      <w:r>
        <w:separator/>
      </w:r>
    </w:p>
  </w:footnote>
  <w:footnote w:type="continuationSeparator" w:id="0">
    <w:p w:rsidR="009E1AD1" w:rsidRDefault="009E1AD1" w:rsidP="00DB64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D7CA6"/>
    <w:rsid w:val="004355F5"/>
    <w:rsid w:val="00784100"/>
    <w:rsid w:val="008D7CA6"/>
    <w:rsid w:val="009E1AD1"/>
    <w:rsid w:val="00DB64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1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7CA6"/>
    <w:rPr>
      <w:rFonts w:ascii="Tahoma" w:hAnsi="Tahoma" w:cs="Tahoma" w:hint="default"/>
      <w:b/>
      <w:bCs/>
      <w:strike w:val="0"/>
      <w:dstrike w:val="0"/>
      <w:color w:val="085473"/>
      <w:sz w:val="18"/>
      <w:szCs w:val="18"/>
      <w:u w:val="none"/>
      <w:effect w:val="none"/>
    </w:rPr>
  </w:style>
  <w:style w:type="paragraph" w:styleId="NormalWeb">
    <w:name w:val="Normal (Web)"/>
    <w:basedOn w:val="Normal"/>
    <w:uiPriority w:val="99"/>
    <w:unhideWhenUsed/>
    <w:rsid w:val="008D7CA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DB64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6441"/>
  </w:style>
  <w:style w:type="paragraph" w:styleId="Footer">
    <w:name w:val="footer"/>
    <w:basedOn w:val="Normal"/>
    <w:link w:val="FooterChar"/>
    <w:uiPriority w:val="99"/>
    <w:semiHidden/>
    <w:unhideWhenUsed/>
    <w:rsid w:val="00DB64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644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quranway.net/index.aspx?function=Author&amp;id=820&amp;la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15BAE-959F-4E20-9213-19DF6D71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Abdel-Salam</dc:creator>
  <cp:keywords/>
  <dc:description/>
  <cp:lastModifiedBy>Mohamed Abdel-Salam</cp:lastModifiedBy>
  <cp:revision>2</cp:revision>
  <dcterms:created xsi:type="dcterms:W3CDTF">2009-12-04T10:41:00Z</dcterms:created>
  <dcterms:modified xsi:type="dcterms:W3CDTF">2009-12-04T11:07:00Z</dcterms:modified>
</cp:coreProperties>
</file>